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97E78">
      <w:pPr>
        <w:pStyle w:val="2"/>
        <w:keepNext w:val="0"/>
        <w:keepLines w:val="0"/>
        <w:pageBreakBefore w:val="0"/>
        <w:wordWrap/>
        <w:overflowPunct/>
        <w:topLinePunct w:val="0"/>
        <w:autoSpaceDE w:val="0"/>
        <w:autoSpaceDN w:val="0"/>
        <w:bidi w:val="0"/>
        <w:adjustRightInd w:val="0"/>
        <w:snapToGrid w:val="0"/>
        <w:spacing w:line="640" w:lineRule="exact"/>
        <w:textAlignment w:val="baseline"/>
        <w:rPr>
          <w:rFonts w:hint="eastAsia"/>
          <w:lang w:val="en-US" w:eastAsia="zh-CN"/>
        </w:rPr>
      </w:pPr>
    </w:p>
    <w:p w14:paraId="0A848DFA">
      <w:pPr>
        <w:pStyle w:val="2"/>
        <w:keepNext w:val="0"/>
        <w:keepLines w:val="0"/>
        <w:pageBreakBefore w:val="0"/>
        <w:wordWrap/>
        <w:overflowPunct/>
        <w:topLinePunct w:val="0"/>
        <w:autoSpaceDE w:val="0"/>
        <w:autoSpaceDN w:val="0"/>
        <w:bidi w:val="0"/>
        <w:adjustRightInd w:val="0"/>
        <w:snapToGrid w:val="0"/>
        <w:spacing w:line="640" w:lineRule="exact"/>
        <w:ind w:left="0" w:leftChars="0" w:right="0" w:firstLine="0" w:firstLineChars="0"/>
        <w:jc w:val="center"/>
        <w:textAlignment w:val="baseline"/>
        <w:rPr>
          <w:rFonts w:hint="eastAsia" w:ascii="Times New Roman" w:hAnsi="Times New Roman" w:eastAsia="方正小标宋_GBK" w:cs="方正小标宋_GBK"/>
          <w:sz w:val="44"/>
          <w:szCs w:val="44"/>
          <w:lang w:eastAsia="zh-CN"/>
        </w:rPr>
      </w:pPr>
      <w:bookmarkStart w:id="2" w:name="_GoBack"/>
      <w:r>
        <w:rPr>
          <w:rFonts w:hint="eastAsia" w:ascii="Times New Roman" w:hAnsi="Times New Roman" w:eastAsia="方正小标宋_GBK" w:cs="方正小标宋_GBK"/>
          <w:spacing w:val="2"/>
          <w:position w:val="5"/>
          <w:sz w:val="44"/>
          <w:szCs w:val="44"/>
          <w:lang w:eastAsia="zh-CN"/>
        </w:rPr>
        <w:t>宿州市结核病防治规划（2025-2030年）（</w:t>
      </w:r>
      <w:r>
        <w:rPr>
          <w:rFonts w:hint="eastAsia" w:ascii="Times New Roman" w:hAnsi="Times New Roman" w:eastAsia="方正小标宋_GBK" w:cs="方正小标宋_GBK"/>
          <w:spacing w:val="2"/>
          <w:position w:val="5"/>
          <w:sz w:val="44"/>
          <w:szCs w:val="44"/>
          <w:lang w:val="en-US" w:eastAsia="zh-CN"/>
        </w:rPr>
        <w:t>征求意见稿</w:t>
      </w:r>
      <w:r>
        <w:rPr>
          <w:rFonts w:hint="eastAsia" w:ascii="Times New Roman" w:hAnsi="Times New Roman" w:eastAsia="方正小标宋_GBK" w:cs="方正小标宋_GBK"/>
          <w:spacing w:val="2"/>
          <w:position w:val="5"/>
          <w:sz w:val="44"/>
          <w:szCs w:val="44"/>
          <w:lang w:eastAsia="zh-CN"/>
        </w:rPr>
        <w:t>）</w:t>
      </w:r>
    </w:p>
    <w:bookmarkEnd w:id="2"/>
    <w:p w14:paraId="271C6F85">
      <w:pPr>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lang w:eastAsia="zh-CN"/>
        </w:rPr>
      </w:pPr>
    </w:p>
    <w:p w14:paraId="4FD15A4F">
      <w:pPr>
        <w:keepNext w:val="0"/>
        <w:keepLines w:val="0"/>
        <w:pageBreakBefore w:val="0"/>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为贯彻落实《安徽省结核病防治规划（2025-2030）》，加强全市结核病防治工作，终结结核病流行，进一步减少结核病危害，切实维护广大人民群众身体健康和生命安全，结合我市实际，制定本规划。</w:t>
      </w:r>
    </w:p>
    <w:p w14:paraId="7D1D229D">
      <w:pPr>
        <w:keepNext w:val="0"/>
        <w:keepLines w:val="0"/>
        <w:pageBreakBefore w:val="0"/>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黑体_GBK" w:hAnsi="方正黑体_GBK" w:eastAsia="方正黑体_GBK" w:cs="方正黑体_GBK"/>
          <w:spacing w:val="0"/>
          <w:sz w:val="32"/>
          <w:szCs w:val="32"/>
          <w:lang w:eastAsia="zh-CN"/>
        </w:rPr>
      </w:pPr>
      <w:r>
        <w:rPr>
          <w:rFonts w:hint="eastAsia" w:ascii="方正黑体_GBK" w:hAnsi="方正黑体_GBK" w:eastAsia="方正黑体_GBK" w:cs="方正黑体_GBK"/>
          <w:spacing w:val="0"/>
          <w:sz w:val="32"/>
          <w:szCs w:val="32"/>
          <w:lang w:eastAsia="zh-CN"/>
        </w:rPr>
        <w:t>一、规划目标</w:t>
      </w:r>
    </w:p>
    <w:p w14:paraId="034AF4AF">
      <w:pPr>
        <w:keepNext w:val="0"/>
        <w:keepLines w:val="0"/>
        <w:pageBreakBefore w:val="0"/>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以习近平新时代中国特色社会主义思想为指导，全面贯彻党的二十大和二十届二中、三中全会精神以及习近平总书记考察安徽重要讲话精神，坚持党的领导、部门协作、社会动员、全民参与的机制，坚持预防为主、防治结合、因地制宜、突出重点的原则，不断优化防治策略措施，持续提升防治水平。规划目标是全市结核病发病率持续降低，死亡率始终保持在较低水平，结核病患者经济负担逐步降低，为终结结核病流行奠定坚实基础。规划指标见下表：</w:t>
      </w:r>
    </w:p>
    <w:p w14:paraId="62988836">
      <w:pPr>
        <w:keepNext w:val="0"/>
        <w:keepLines w:val="0"/>
        <w:pageBreakBefore w:val="0"/>
        <w:wordWrap/>
        <w:overflowPunct/>
        <w:topLinePunct w:val="0"/>
        <w:autoSpaceDE w:val="0"/>
        <w:autoSpaceDN w:val="0"/>
        <w:bidi w:val="0"/>
        <w:adjustRightInd w:val="0"/>
        <w:snapToGrid w:val="0"/>
        <w:spacing w:line="640" w:lineRule="exact"/>
        <w:ind w:left="0" w:right="0" w:firstLine="631" w:firstLineChars="200"/>
        <w:textAlignment w:val="baseline"/>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pacing w:val="-3"/>
          <w:position w:val="1"/>
          <w:sz w:val="32"/>
          <w:szCs w:val="32"/>
        </w:rPr>
        <w:t>规划指标一览表</w:t>
      </w:r>
    </w:p>
    <w:tbl>
      <w:tblPr>
        <w:tblStyle w:val="8"/>
        <w:tblW w:w="87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287"/>
        <w:gridCol w:w="4190"/>
        <w:gridCol w:w="1230"/>
        <w:gridCol w:w="1231"/>
      </w:tblGrid>
      <w:tr w14:paraId="6859E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2126" w:type="dxa"/>
            <w:gridSpan w:val="2"/>
            <w:tcBorders>
              <w:bottom w:val="single" w:color="auto" w:sz="4" w:space="0"/>
            </w:tcBorders>
            <w:vAlign w:val="center"/>
          </w:tcPr>
          <w:p w14:paraId="0E673B7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领域</w:t>
            </w:r>
          </w:p>
        </w:tc>
        <w:tc>
          <w:tcPr>
            <w:tcW w:w="4190" w:type="dxa"/>
            <w:tcBorders>
              <w:bottom w:val="single" w:color="auto" w:sz="4" w:space="0"/>
            </w:tcBorders>
            <w:vAlign w:val="center"/>
          </w:tcPr>
          <w:p w14:paraId="00ADCE1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指标</w:t>
            </w:r>
          </w:p>
        </w:tc>
        <w:tc>
          <w:tcPr>
            <w:tcW w:w="1230" w:type="dxa"/>
            <w:tcBorders>
              <w:bottom w:val="single" w:color="auto" w:sz="4" w:space="0"/>
            </w:tcBorders>
            <w:vAlign w:val="center"/>
          </w:tcPr>
          <w:p w14:paraId="371A6CA8">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2025年</w:t>
            </w:r>
          </w:p>
        </w:tc>
        <w:tc>
          <w:tcPr>
            <w:tcW w:w="1231" w:type="dxa"/>
            <w:tcBorders>
              <w:bottom w:val="single" w:color="auto" w:sz="4" w:space="0"/>
            </w:tcBorders>
            <w:vAlign w:val="center"/>
          </w:tcPr>
          <w:p w14:paraId="383EE8DA">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2030年</w:t>
            </w:r>
          </w:p>
        </w:tc>
      </w:tr>
      <w:tr w14:paraId="7A04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14:paraId="30A79A16">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规划</w:t>
            </w:r>
          </w:p>
          <w:p w14:paraId="38D1720F">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目标</w:t>
            </w:r>
          </w:p>
        </w:tc>
        <w:tc>
          <w:tcPr>
            <w:tcW w:w="1287" w:type="dxa"/>
            <w:tcBorders>
              <w:top w:val="single" w:color="auto" w:sz="4" w:space="0"/>
              <w:left w:val="single" w:color="auto" w:sz="4" w:space="0"/>
              <w:bottom w:val="single" w:color="auto" w:sz="4" w:space="0"/>
              <w:right w:val="single" w:color="auto" w:sz="4" w:space="0"/>
            </w:tcBorders>
            <w:vAlign w:val="center"/>
          </w:tcPr>
          <w:p w14:paraId="007AECCE">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核心指标</w:t>
            </w:r>
          </w:p>
        </w:tc>
        <w:tc>
          <w:tcPr>
            <w:tcW w:w="4190" w:type="dxa"/>
            <w:tcBorders>
              <w:top w:val="single" w:color="auto" w:sz="4" w:space="0"/>
              <w:left w:val="single" w:color="auto" w:sz="4" w:space="0"/>
              <w:bottom w:val="single" w:color="auto" w:sz="4" w:space="0"/>
              <w:right w:val="single" w:color="auto" w:sz="4" w:space="0"/>
            </w:tcBorders>
            <w:vAlign w:val="center"/>
          </w:tcPr>
          <w:p w14:paraId="397DE6DA">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结核病发病率</w:t>
            </w:r>
          </w:p>
        </w:tc>
        <w:tc>
          <w:tcPr>
            <w:tcW w:w="1230" w:type="dxa"/>
            <w:tcBorders>
              <w:top w:val="single" w:color="auto" w:sz="4" w:space="0"/>
              <w:left w:val="single" w:color="auto" w:sz="4" w:space="0"/>
              <w:bottom w:val="single" w:color="auto" w:sz="4" w:space="0"/>
              <w:right w:val="single" w:color="auto" w:sz="4" w:space="0"/>
            </w:tcBorders>
            <w:vAlign w:val="center"/>
          </w:tcPr>
          <w:p w14:paraId="256FCC0F">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&lt;46/10万</w:t>
            </w:r>
          </w:p>
        </w:tc>
        <w:tc>
          <w:tcPr>
            <w:tcW w:w="1231" w:type="dxa"/>
            <w:tcBorders>
              <w:top w:val="single" w:color="auto" w:sz="4" w:space="0"/>
              <w:left w:val="single" w:color="auto" w:sz="4" w:space="0"/>
              <w:bottom w:val="single" w:color="auto" w:sz="4" w:space="0"/>
              <w:right w:val="single" w:color="auto" w:sz="4" w:space="0"/>
            </w:tcBorders>
            <w:vAlign w:val="center"/>
          </w:tcPr>
          <w:p w14:paraId="38B528ED">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&lt;40/10万</w:t>
            </w:r>
          </w:p>
        </w:tc>
      </w:tr>
      <w:tr w14:paraId="76EF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restart"/>
            <w:tcBorders>
              <w:top w:val="single" w:color="auto" w:sz="4" w:space="0"/>
              <w:left w:val="single" w:color="auto" w:sz="4" w:space="0"/>
              <w:bottom w:val="single" w:color="auto" w:sz="4" w:space="0"/>
              <w:right w:val="single" w:color="auto" w:sz="4" w:space="0"/>
            </w:tcBorders>
          </w:tcPr>
          <w:p w14:paraId="2895D847">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jc w:val="center"/>
              <w:textAlignment w:val="baseline"/>
              <w:rPr>
                <w:rFonts w:hint="default" w:ascii="Times New Roman" w:hAnsi="Times New Roman" w:cs="Times New Roman"/>
              </w:rPr>
            </w:pPr>
          </w:p>
          <w:p w14:paraId="2FEDF19E">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jc w:val="center"/>
              <w:textAlignment w:val="baseline"/>
              <w:rPr>
                <w:rFonts w:hint="default" w:ascii="Times New Roman" w:hAnsi="Times New Roman" w:cs="Times New Roman"/>
              </w:rPr>
            </w:pPr>
          </w:p>
          <w:p w14:paraId="3451E112">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jc w:val="center"/>
              <w:textAlignment w:val="baseline"/>
              <w:rPr>
                <w:rFonts w:hint="default" w:ascii="Times New Roman" w:hAnsi="Times New Roman" w:cs="Times New Roman"/>
              </w:rPr>
            </w:pPr>
          </w:p>
          <w:p w14:paraId="5D0B8798">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40" w:firstLineChars="20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0"/>
                <w:sz w:val="24"/>
                <w:szCs w:val="24"/>
              </w:rPr>
              <w:t>工作</w:t>
            </w:r>
          </w:p>
          <w:p w14:paraId="5F4D95DD">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48" w:firstLineChars="200"/>
              <w:jc w:val="both"/>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8"/>
                <w:sz w:val="24"/>
                <w:szCs w:val="24"/>
              </w:rPr>
              <w:t>指标</w:t>
            </w:r>
          </w:p>
        </w:tc>
        <w:tc>
          <w:tcPr>
            <w:tcW w:w="1287" w:type="dxa"/>
            <w:vMerge w:val="restart"/>
            <w:tcBorders>
              <w:top w:val="single" w:color="auto" w:sz="4" w:space="0"/>
              <w:left w:val="single" w:color="auto" w:sz="4" w:space="0"/>
              <w:bottom w:val="single" w:color="auto" w:sz="4" w:space="0"/>
              <w:right w:val="single" w:color="auto" w:sz="4" w:space="0"/>
            </w:tcBorders>
          </w:tcPr>
          <w:p w14:paraId="30F4C55C">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p w14:paraId="76FC8490">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p w14:paraId="32D4DB95">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p w14:paraId="60585075">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p w14:paraId="50A35FAF">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36" w:firstLineChars="200"/>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1"/>
                <w:sz w:val="24"/>
                <w:szCs w:val="24"/>
              </w:rPr>
              <w:t>患者发现</w:t>
            </w:r>
          </w:p>
        </w:tc>
        <w:tc>
          <w:tcPr>
            <w:tcW w:w="4190" w:type="dxa"/>
            <w:tcBorders>
              <w:top w:val="single" w:color="auto" w:sz="4" w:space="0"/>
              <w:left w:val="single" w:color="auto" w:sz="4" w:space="0"/>
              <w:bottom w:val="single" w:color="auto" w:sz="4" w:space="0"/>
              <w:right w:val="single" w:color="auto" w:sz="4" w:space="0"/>
            </w:tcBorders>
            <w:vAlign w:val="center"/>
          </w:tcPr>
          <w:p w14:paraId="07ECA7B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肺结核患者密切接触者结核病检查率</w:t>
            </w:r>
          </w:p>
        </w:tc>
        <w:tc>
          <w:tcPr>
            <w:tcW w:w="1230" w:type="dxa"/>
            <w:tcBorders>
              <w:top w:val="single" w:color="auto" w:sz="4" w:space="0"/>
              <w:left w:val="single" w:color="auto" w:sz="4" w:space="0"/>
              <w:bottom w:val="single" w:color="auto" w:sz="4" w:space="0"/>
              <w:right w:val="single" w:color="auto" w:sz="4" w:space="0"/>
            </w:tcBorders>
            <w:vAlign w:val="center"/>
          </w:tcPr>
          <w:p w14:paraId="54C5F48F">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≥80%</w:t>
            </w:r>
          </w:p>
        </w:tc>
        <w:tc>
          <w:tcPr>
            <w:tcW w:w="1231" w:type="dxa"/>
            <w:tcBorders>
              <w:top w:val="single" w:color="auto" w:sz="4" w:space="0"/>
              <w:left w:val="single" w:color="auto" w:sz="4" w:space="0"/>
              <w:bottom w:val="single" w:color="auto" w:sz="4" w:space="0"/>
              <w:right w:val="single" w:color="auto" w:sz="4" w:space="0"/>
            </w:tcBorders>
            <w:vAlign w:val="center"/>
          </w:tcPr>
          <w:p w14:paraId="3BC2406B">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≥90%</w:t>
            </w:r>
          </w:p>
        </w:tc>
      </w:tr>
      <w:tr w14:paraId="42C05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continue"/>
            <w:tcBorders>
              <w:top w:val="single" w:color="auto" w:sz="4" w:space="0"/>
              <w:left w:val="single" w:color="auto" w:sz="4" w:space="0"/>
              <w:bottom w:val="single" w:color="auto" w:sz="4" w:space="0"/>
              <w:right w:val="single" w:color="auto" w:sz="4" w:space="0"/>
            </w:tcBorders>
          </w:tcPr>
          <w:p w14:paraId="332A6C47">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tc>
        <w:tc>
          <w:tcPr>
            <w:tcW w:w="1287" w:type="dxa"/>
            <w:vMerge w:val="continue"/>
            <w:tcBorders>
              <w:top w:val="single" w:color="auto" w:sz="4" w:space="0"/>
              <w:left w:val="single" w:color="auto" w:sz="4" w:space="0"/>
              <w:bottom w:val="single" w:color="auto" w:sz="4" w:space="0"/>
              <w:right w:val="single" w:color="auto" w:sz="4" w:space="0"/>
            </w:tcBorders>
          </w:tcPr>
          <w:p w14:paraId="7447914C">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tc>
        <w:tc>
          <w:tcPr>
            <w:tcW w:w="4190" w:type="dxa"/>
            <w:tcBorders>
              <w:top w:val="single" w:color="auto" w:sz="4" w:space="0"/>
              <w:left w:val="single" w:color="auto" w:sz="4" w:space="0"/>
              <w:bottom w:val="single" w:color="auto" w:sz="4" w:space="0"/>
              <w:right w:val="single" w:color="auto" w:sz="4" w:space="0"/>
            </w:tcBorders>
            <w:vAlign w:val="center"/>
          </w:tcPr>
          <w:p w14:paraId="5D904379">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肺结核患者中的病原学阳性率</w:t>
            </w:r>
          </w:p>
        </w:tc>
        <w:tc>
          <w:tcPr>
            <w:tcW w:w="1230" w:type="dxa"/>
            <w:tcBorders>
              <w:top w:val="single" w:color="auto" w:sz="4" w:space="0"/>
              <w:left w:val="single" w:color="auto" w:sz="4" w:space="0"/>
              <w:bottom w:val="single" w:color="auto" w:sz="4" w:space="0"/>
              <w:right w:val="single" w:color="auto" w:sz="4" w:space="0"/>
            </w:tcBorders>
            <w:vAlign w:val="center"/>
          </w:tcPr>
          <w:p w14:paraId="019DE2A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≥60%</w:t>
            </w:r>
          </w:p>
        </w:tc>
        <w:tc>
          <w:tcPr>
            <w:tcW w:w="1231" w:type="dxa"/>
            <w:tcBorders>
              <w:top w:val="single" w:color="auto" w:sz="4" w:space="0"/>
              <w:left w:val="single" w:color="auto" w:sz="4" w:space="0"/>
              <w:bottom w:val="single" w:color="auto" w:sz="4" w:space="0"/>
              <w:right w:val="single" w:color="auto" w:sz="4" w:space="0"/>
            </w:tcBorders>
            <w:vAlign w:val="center"/>
          </w:tcPr>
          <w:p w14:paraId="796D5173">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≥70%</w:t>
            </w:r>
          </w:p>
        </w:tc>
      </w:tr>
      <w:tr w14:paraId="07ED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continue"/>
            <w:tcBorders>
              <w:top w:val="single" w:color="auto" w:sz="4" w:space="0"/>
              <w:left w:val="single" w:color="auto" w:sz="4" w:space="0"/>
              <w:bottom w:val="single" w:color="auto" w:sz="4" w:space="0"/>
              <w:right w:val="single" w:color="auto" w:sz="4" w:space="0"/>
            </w:tcBorders>
          </w:tcPr>
          <w:p w14:paraId="3D91DB70">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tc>
        <w:tc>
          <w:tcPr>
            <w:tcW w:w="1287" w:type="dxa"/>
            <w:vMerge w:val="continue"/>
            <w:tcBorders>
              <w:top w:val="single" w:color="auto" w:sz="4" w:space="0"/>
              <w:left w:val="single" w:color="auto" w:sz="4" w:space="0"/>
              <w:bottom w:val="single" w:color="auto" w:sz="4" w:space="0"/>
              <w:right w:val="single" w:color="auto" w:sz="4" w:space="0"/>
            </w:tcBorders>
          </w:tcPr>
          <w:p w14:paraId="30D68C20">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hint="default" w:ascii="Times New Roman" w:hAnsi="Times New Roman" w:cs="Times New Roman"/>
              </w:rPr>
            </w:pPr>
          </w:p>
        </w:tc>
        <w:tc>
          <w:tcPr>
            <w:tcW w:w="4190" w:type="dxa"/>
            <w:tcBorders>
              <w:top w:val="single" w:color="auto" w:sz="4" w:space="0"/>
              <w:left w:val="single" w:color="auto" w:sz="4" w:space="0"/>
              <w:bottom w:val="single" w:color="auto" w:sz="4" w:space="0"/>
              <w:right w:val="single" w:color="auto" w:sz="4" w:space="0"/>
            </w:tcBorders>
            <w:vAlign w:val="center"/>
          </w:tcPr>
          <w:p w14:paraId="2418189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病原学阳性肺结核患者耐药检测率</w:t>
            </w:r>
          </w:p>
        </w:tc>
        <w:tc>
          <w:tcPr>
            <w:tcW w:w="1230" w:type="dxa"/>
            <w:tcBorders>
              <w:top w:val="single" w:color="auto" w:sz="4" w:space="0"/>
              <w:left w:val="single" w:color="auto" w:sz="4" w:space="0"/>
              <w:bottom w:val="single" w:color="auto" w:sz="4" w:space="0"/>
              <w:right w:val="single" w:color="auto" w:sz="4" w:space="0"/>
            </w:tcBorders>
            <w:vAlign w:val="center"/>
          </w:tcPr>
          <w:p w14:paraId="41846F1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≥90%</w:t>
            </w:r>
          </w:p>
        </w:tc>
        <w:tc>
          <w:tcPr>
            <w:tcW w:w="1231" w:type="dxa"/>
            <w:tcBorders>
              <w:top w:val="single" w:color="auto" w:sz="4" w:space="0"/>
              <w:left w:val="single" w:color="auto" w:sz="4" w:space="0"/>
              <w:bottom w:val="single" w:color="auto" w:sz="4" w:space="0"/>
              <w:right w:val="single" w:color="auto" w:sz="4" w:space="0"/>
            </w:tcBorders>
            <w:vAlign w:val="center"/>
          </w:tcPr>
          <w:p w14:paraId="166BE501">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≥95%</w:t>
            </w:r>
          </w:p>
        </w:tc>
      </w:tr>
      <w:tr w14:paraId="0515E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continue"/>
            <w:tcBorders>
              <w:top w:val="single" w:color="auto" w:sz="4" w:space="0"/>
              <w:left w:val="single" w:color="auto" w:sz="4" w:space="0"/>
              <w:bottom w:val="single" w:color="auto" w:sz="4" w:space="0"/>
              <w:right w:val="single" w:color="auto" w:sz="4" w:space="0"/>
            </w:tcBorders>
          </w:tcPr>
          <w:p w14:paraId="60199ACC">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1287" w:type="dxa"/>
            <w:vMerge w:val="continue"/>
            <w:tcBorders>
              <w:top w:val="single" w:color="auto" w:sz="4" w:space="0"/>
              <w:left w:val="single" w:color="auto" w:sz="4" w:space="0"/>
              <w:bottom w:val="single" w:color="auto" w:sz="4" w:space="0"/>
              <w:right w:val="single" w:color="auto" w:sz="4" w:space="0"/>
            </w:tcBorders>
          </w:tcPr>
          <w:p w14:paraId="65B8A817">
            <w:pPr>
              <w:pStyle w:val="9"/>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4190" w:type="dxa"/>
            <w:tcBorders>
              <w:top w:val="single" w:color="auto" w:sz="4" w:space="0"/>
              <w:left w:val="single" w:color="auto" w:sz="4" w:space="0"/>
              <w:bottom w:val="single" w:color="auto" w:sz="4" w:space="0"/>
              <w:right w:val="single" w:color="auto" w:sz="4" w:space="0"/>
            </w:tcBorders>
            <w:vAlign w:val="center"/>
          </w:tcPr>
          <w:p w14:paraId="2C811701">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入学新生体检结核病筛查率</w:t>
            </w:r>
          </w:p>
        </w:tc>
        <w:tc>
          <w:tcPr>
            <w:tcW w:w="1230" w:type="dxa"/>
            <w:tcBorders>
              <w:top w:val="single" w:color="auto" w:sz="4" w:space="0"/>
              <w:left w:val="single" w:color="auto" w:sz="4" w:space="0"/>
              <w:bottom w:val="single" w:color="auto" w:sz="4" w:space="0"/>
              <w:right w:val="single" w:color="auto" w:sz="4" w:space="0"/>
            </w:tcBorders>
            <w:vAlign w:val="center"/>
          </w:tcPr>
          <w:p w14:paraId="0D1DC195">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≥90%</w:t>
            </w:r>
          </w:p>
        </w:tc>
        <w:tc>
          <w:tcPr>
            <w:tcW w:w="1231" w:type="dxa"/>
            <w:tcBorders>
              <w:top w:val="single" w:color="auto" w:sz="4" w:space="0"/>
              <w:left w:val="single" w:color="auto" w:sz="4" w:space="0"/>
              <w:bottom w:val="single" w:color="auto" w:sz="4" w:space="0"/>
              <w:right w:val="single" w:color="auto" w:sz="4" w:space="0"/>
            </w:tcBorders>
            <w:vAlign w:val="center"/>
          </w:tcPr>
          <w:p w14:paraId="742A42D9">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≥95%</w:t>
            </w:r>
          </w:p>
        </w:tc>
      </w:tr>
      <w:tr w14:paraId="5EC8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2126" w:type="dxa"/>
            <w:gridSpan w:val="2"/>
            <w:tcBorders>
              <w:top w:val="single" w:color="auto" w:sz="4" w:space="0"/>
            </w:tcBorders>
          </w:tcPr>
          <w:p w14:paraId="569AA3E8">
            <w:pPr>
              <w:keepNext w:val="0"/>
              <w:keepLines w:val="0"/>
              <w:pageBreakBefore w:val="0"/>
              <w:wordWrap/>
              <w:overflowPunct/>
              <w:topLinePunct w:val="0"/>
              <w:autoSpaceDE w:val="0"/>
              <w:autoSpaceDN w:val="0"/>
              <w:bidi w:val="0"/>
              <w:adjustRightInd w:val="0"/>
              <w:snapToGrid w:val="0"/>
              <w:spacing w:line="640" w:lineRule="exact"/>
              <w:ind w:left="0" w:right="0" w:firstLine="472" w:firstLineChars="200"/>
              <w:textAlignment w:val="baseline"/>
              <w:rPr>
                <w:rFonts w:ascii="Times New Roman" w:hAnsi="Times New Roman" w:eastAsia="黑体" w:cs="黑体"/>
                <w:sz w:val="24"/>
                <w:szCs w:val="24"/>
              </w:rPr>
            </w:pPr>
            <w:r>
              <w:rPr>
                <w:rFonts w:ascii="Times New Roman" w:hAnsi="Times New Roman" w:eastAsia="黑体" w:cs="黑体"/>
                <w:spacing w:val="-2"/>
                <w:sz w:val="24"/>
                <w:szCs w:val="24"/>
              </w:rPr>
              <w:t>领域</w:t>
            </w:r>
          </w:p>
        </w:tc>
        <w:tc>
          <w:tcPr>
            <w:tcW w:w="4190" w:type="dxa"/>
            <w:tcBorders>
              <w:top w:val="single" w:color="auto" w:sz="4" w:space="0"/>
            </w:tcBorders>
          </w:tcPr>
          <w:p w14:paraId="527F4FFA">
            <w:pPr>
              <w:keepNext w:val="0"/>
              <w:keepLines w:val="0"/>
              <w:pageBreakBefore w:val="0"/>
              <w:wordWrap/>
              <w:overflowPunct/>
              <w:topLinePunct w:val="0"/>
              <w:autoSpaceDE w:val="0"/>
              <w:autoSpaceDN w:val="0"/>
              <w:bidi w:val="0"/>
              <w:adjustRightInd w:val="0"/>
              <w:snapToGrid w:val="0"/>
              <w:spacing w:line="640" w:lineRule="exact"/>
              <w:ind w:left="0" w:right="0" w:firstLine="460" w:firstLineChars="200"/>
              <w:textAlignment w:val="baseline"/>
              <w:rPr>
                <w:rFonts w:ascii="Times New Roman" w:hAnsi="Times New Roman" w:eastAsia="黑体" w:cs="黑体"/>
                <w:sz w:val="24"/>
                <w:szCs w:val="24"/>
              </w:rPr>
            </w:pPr>
            <w:r>
              <w:rPr>
                <w:rFonts w:ascii="Times New Roman" w:hAnsi="Times New Roman" w:eastAsia="黑体" w:cs="黑体"/>
                <w:spacing w:val="-5"/>
                <w:position w:val="1"/>
                <w:sz w:val="24"/>
                <w:szCs w:val="24"/>
              </w:rPr>
              <w:t>指标</w:t>
            </w:r>
          </w:p>
        </w:tc>
        <w:tc>
          <w:tcPr>
            <w:tcW w:w="1230" w:type="dxa"/>
            <w:tcBorders>
              <w:top w:val="single" w:color="auto" w:sz="4" w:space="0"/>
            </w:tcBorders>
          </w:tcPr>
          <w:p w14:paraId="7C01EF3F">
            <w:pPr>
              <w:keepNext w:val="0"/>
              <w:keepLines w:val="0"/>
              <w:pageBreakBefore w:val="0"/>
              <w:wordWrap/>
              <w:overflowPunct/>
              <w:topLinePunct w:val="0"/>
              <w:autoSpaceDE w:val="0"/>
              <w:autoSpaceDN w:val="0"/>
              <w:bidi w:val="0"/>
              <w:adjustRightInd w:val="0"/>
              <w:snapToGrid w:val="0"/>
              <w:spacing w:line="640" w:lineRule="exact"/>
              <w:ind w:right="0"/>
              <w:jc w:val="center"/>
              <w:textAlignment w:val="baseline"/>
              <w:rPr>
                <w:rFonts w:ascii="Times New Roman" w:hAnsi="Times New Roman" w:eastAsia="黑体" w:cs="黑体"/>
                <w:sz w:val="24"/>
                <w:szCs w:val="24"/>
              </w:rPr>
            </w:pPr>
            <w:r>
              <w:rPr>
                <w:rFonts w:ascii="Times New Roman" w:hAnsi="Times New Roman" w:eastAsia="黑体" w:cs="黑体"/>
                <w:spacing w:val="7"/>
                <w:position w:val="1"/>
                <w:sz w:val="24"/>
                <w:szCs w:val="24"/>
              </w:rPr>
              <w:t>2025年</w:t>
            </w:r>
          </w:p>
        </w:tc>
        <w:tc>
          <w:tcPr>
            <w:tcW w:w="1231" w:type="dxa"/>
            <w:tcBorders>
              <w:top w:val="single" w:color="auto" w:sz="4" w:space="0"/>
            </w:tcBorders>
          </w:tcPr>
          <w:p w14:paraId="3F2CFBFB">
            <w:pPr>
              <w:keepNext w:val="0"/>
              <w:keepLines w:val="0"/>
              <w:pageBreakBefore w:val="0"/>
              <w:wordWrap/>
              <w:overflowPunct/>
              <w:topLinePunct w:val="0"/>
              <w:autoSpaceDE w:val="0"/>
              <w:autoSpaceDN w:val="0"/>
              <w:bidi w:val="0"/>
              <w:adjustRightInd w:val="0"/>
              <w:snapToGrid w:val="0"/>
              <w:spacing w:line="640" w:lineRule="exact"/>
              <w:ind w:right="0"/>
              <w:jc w:val="center"/>
              <w:textAlignment w:val="baseline"/>
              <w:rPr>
                <w:rFonts w:ascii="Times New Roman" w:hAnsi="Times New Roman" w:eastAsia="黑体" w:cs="黑体"/>
                <w:sz w:val="24"/>
                <w:szCs w:val="24"/>
              </w:rPr>
            </w:pPr>
            <w:r>
              <w:rPr>
                <w:rFonts w:ascii="Times New Roman" w:hAnsi="Times New Roman" w:eastAsia="黑体" w:cs="黑体"/>
                <w:spacing w:val="7"/>
                <w:position w:val="1"/>
                <w:sz w:val="24"/>
                <w:szCs w:val="24"/>
              </w:rPr>
              <w:t>2030年</w:t>
            </w:r>
          </w:p>
        </w:tc>
      </w:tr>
      <w:tr w14:paraId="55B7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restart"/>
            <w:tcBorders>
              <w:bottom w:val="nil"/>
            </w:tcBorders>
          </w:tcPr>
          <w:p w14:paraId="10627281">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1287" w:type="dxa"/>
            <w:vMerge w:val="restart"/>
            <w:tcBorders>
              <w:bottom w:val="nil"/>
            </w:tcBorders>
          </w:tcPr>
          <w:p w14:paraId="6BEE6D30">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p w14:paraId="5F029FC4">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p w14:paraId="5A88AEA2">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p w14:paraId="3A65ABEF">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p w14:paraId="4CD3FDFD">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p w14:paraId="146E38B0">
            <w:pPr>
              <w:keepNext w:val="0"/>
              <w:keepLines w:val="0"/>
              <w:pageBreakBefore w:val="0"/>
              <w:wordWrap/>
              <w:overflowPunct/>
              <w:topLinePunct w:val="0"/>
              <w:autoSpaceDE w:val="0"/>
              <w:autoSpaceDN w:val="0"/>
              <w:bidi w:val="0"/>
              <w:adjustRightInd w:val="0"/>
              <w:snapToGrid w:val="0"/>
              <w:spacing w:line="640" w:lineRule="exact"/>
              <w:ind w:left="0" w:right="0" w:firstLine="428" w:firstLineChars="200"/>
              <w:textAlignment w:val="baseline"/>
              <w:rPr>
                <w:rFonts w:ascii="Times New Roman" w:hAnsi="Times New Roman" w:eastAsia="仿宋" w:cs="仿宋"/>
                <w:sz w:val="24"/>
                <w:szCs w:val="24"/>
              </w:rPr>
            </w:pPr>
            <w:r>
              <w:rPr>
                <w:rFonts w:ascii="Times New Roman" w:hAnsi="Times New Roman" w:eastAsia="仿宋" w:cs="仿宋"/>
                <w:spacing w:val="-13"/>
                <w:sz w:val="24"/>
                <w:szCs w:val="24"/>
              </w:rPr>
              <w:t>患者治疗</w:t>
            </w:r>
            <w:r>
              <w:rPr>
                <w:rFonts w:ascii="Times New Roman" w:hAnsi="Times New Roman" w:eastAsia="仿宋" w:cs="仿宋"/>
                <w:spacing w:val="-12"/>
                <w:sz w:val="24"/>
                <w:szCs w:val="24"/>
              </w:rPr>
              <w:t>管理</w:t>
            </w:r>
          </w:p>
        </w:tc>
        <w:tc>
          <w:tcPr>
            <w:tcW w:w="4190" w:type="dxa"/>
            <w:vAlign w:val="center"/>
          </w:tcPr>
          <w:p w14:paraId="6AE7BB6A">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肺结核患者标准化治疗方案使用率</w:t>
            </w:r>
          </w:p>
        </w:tc>
        <w:tc>
          <w:tcPr>
            <w:tcW w:w="1230" w:type="dxa"/>
            <w:vAlign w:val="center"/>
          </w:tcPr>
          <w:p w14:paraId="6329E9F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≥85%</w:t>
            </w:r>
          </w:p>
        </w:tc>
        <w:tc>
          <w:tcPr>
            <w:tcW w:w="1231" w:type="dxa"/>
            <w:vAlign w:val="center"/>
          </w:tcPr>
          <w:p w14:paraId="2C7D5410">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≥90%</w:t>
            </w:r>
          </w:p>
        </w:tc>
      </w:tr>
      <w:tr w14:paraId="21555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839" w:type="dxa"/>
            <w:vMerge w:val="continue"/>
            <w:tcBorders>
              <w:top w:val="nil"/>
              <w:bottom w:val="nil"/>
            </w:tcBorders>
          </w:tcPr>
          <w:p w14:paraId="5C065B37">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1287" w:type="dxa"/>
            <w:vMerge w:val="continue"/>
            <w:tcBorders>
              <w:top w:val="nil"/>
              <w:bottom w:val="nil"/>
            </w:tcBorders>
          </w:tcPr>
          <w:p w14:paraId="6EC6A35D">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4190" w:type="dxa"/>
            <w:vAlign w:val="center"/>
          </w:tcPr>
          <w:p w14:paraId="7DE298DA">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left"/>
              <w:textAlignment w:val="baseline"/>
              <w:rPr>
                <w:rFonts w:ascii="Times New Roman" w:hAnsi="Times New Roman" w:eastAsia="仿宋" w:cs="仿宋"/>
                <w:sz w:val="24"/>
                <w:szCs w:val="24"/>
              </w:rPr>
            </w:pPr>
            <w:r>
              <w:rPr>
                <w:rFonts w:ascii="Times New Roman" w:hAnsi="Times New Roman" w:eastAsia="仿宋" w:cs="仿宋"/>
                <w:spacing w:val="-9"/>
                <w:sz w:val="24"/>
                <w:szCs w:val="24"/>
                <w:lang w:eastAsia="zh-CN"/>
              </w:rPr>
              <w:t>利福平敏感肺结核患者固定剂量复合制剂</w:t>
            </w:r>
            <w:r>
              <w:rPr>
                <w:rFonts w:ascii="Times New Roman" w:hAnsi="Times New Roman" w:eastAsia="仿宋" w:cs="仿宋"/>
                <w:spacing w:val="-6"/>
                <w:sz w:val="24"/>
                <w:szCs w:val="24"/>
              </w:rPr>
              <w:t>使用率</w:t>
            </w:r>
          </w:p>
        </w:tc>
        <w:tc>
          <w:tcPr>
            <w:tcW w:w="1230" w:type="dxa"/>
            <w:vAlign w:val="center"/>
          </w:tcPr>
          <w:p w14:paraId="1CFF36FA">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≥65%</w:t>
            </w:r>
          </w:p>
        </w:tc>
        <w:tc>
          <w:tcPr>
            <w:tcW w:w="1231" w:type="dxa"/>
            <w:vAlign w:val="center"/>
          </w:tcPr>
          <w:p w14:paraId="264E238D">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t>≥70%</w:t>
            </w:r>
          </w:p>
        </w:tc>
      </w:tr>
      <w:tr w14:paraId="1163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continue"/>
            <w:tcBorders>
              <w:top w:val="nil"/>
              <w:bottom w:val="nil"/>
            </w:tcBorders>
          </w:tcPr>
          <w:p w14:paraId="0A057858">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1287" w:type="dxa"/>
            <w:vMerge w:val="continue"/>
            <w:tcBorders>
              <w:top w:val="nil"/>
              <w:bottom w:val="nil"/>
            </w:tcBorders>
          </w:tcPr>
          <w:p w14:paraId="20C870C1">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4190" w:type="dxa"/>
            <w:vAlign w:val="center"/>
          </w:tcPr>
          <w:p w14:paraId="412F75BE">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肺结核患者规范管理率</w:t>
            </w:r>
          </w:p>
        </w:tc>
        <w:tc>
          <w:tcPr>
            <w:tcW w:w="1230" w:type="dxa"/>
            <w:vAlign w:val="center"/>
          </w:tcPr>
          <w:p w14:paraId="75D9A439">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≥90%</w:t>
            </w:r>
          </w:p>
        </w:tc>
        <w:tc>
          <w:tcPr>
            <w:tcW w:w="1231" w:type="dxa"/>
            <w:vAlign w:val="center"/>
          </w:tcPr>
          <w:p w14:paraId="65BA13F0">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≥90%</w:t>
            </w:r>
          </w:p>
        </w:tc>
      </w:tr>
      <w:tr w14:paraId="5CF34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continue"/>
            <w:tcBorders>
              <w:top w:val="nil"/>
              <w:bottom w:val="nil"/>
            </w:tcBorders>
          </w:tcPr>
          <w:p w14:paraId="6B19A07D">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1287" w:type="dxa"/>
            <w:vMerge w:val="continue"/>
            <w:tcBorders>
              <w:top w:val="nil"/>
            </w:tcBorders>
          </w:tcPr>
          <w:p w14:paraId="13327554">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4190" w:type="dxa"/>
            <w:vAlign w:val="center"/>
          </w:tcPr>
          <w:p w14:paraId="784FCDDE">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肺结核患者成功治疗率</w:t>
            </w:r>
          </w:p>
        </w:tc>
        <w:tc>
          <w:tcPr>
            <w:tcW w:w="1230" w:type="dxa"/>
            <w:vAlign w:val="center"/>
          </w:tcPr>
          <w:p w14:paraId="1AFD6197">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≥90%</w:t>
            </w:r>
          </w:p>
        </w:tc>
        <w:tc>
          <w:tcPr>
            <w:tcW w:w="1231" w:type="dxa"/>
            <w:vAlign w:val="center"/>
          </w:tcPr>
          <w:p w14:paraId="467494A3">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≥90%</w:t>
            </w:r>
          </w:p>
        </w:tc>
      </w:tr>
      <w:tr w14:paraId="5AAFE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839" w:type="dxa"/>
            <w:vMerge w:val="continue"/>
            <w:tcBorders>
              <w:top w:val="nil"/>
              <w:bottom w:val="nil"/>
            </w:tcBorders>
          </w:tcPr>
          <w:p w14:paraId="0BFDD73E">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1287" w:type="dxa"/>
          </w:tcPr>
          <w:p w14:paraId="343BD6BD">
            <w:pPr>
              <w:keepNext w:val="0"/>
              <w:keepLines w:val="0"/>
              <w:pageBreakBefore w:val="0"/>
              <w:wordWrap/>
              <w:overflowPunct/>
              <w:topLinePunct w:val="0"/>
              <w:autoSpaceDE w:val="0"/>
              <w:autoSpaceDN w:val="0"/>
              <w:bidi w:val="0"/>
              <w:adjustRightInd w:val="0"/>
              <w:snapToGrid w:val="0"/>
              <w:spacing w:line="640" w:lineRule="exact"/>
              <w:ind w:right="0"/>
              <w:textAlignment w:val="baseline"/>
              <w:rPr>
                <w:rFonts w:ascii="Times New Roman" w:hAnsi="Times New Roman" w:eastAsia="仿宋" w:cs="仿宋"/>
                <w:sz w:val="24"/>
                <w:szCs w:val="24"/>
              </w:rPr>
            </w:pPr>
            <w:r>
              <w:rPr>
                <w:rFonts w:ascii="Times New Roman" w:hAnsi="Times New Roman" w:eastAsia="仿宋" w:cs="仿宋"/>
                <w:spacing w:val="-8"/>
                <w:sz w:val="24"/>
                <w:szCs w:val="24"/>
              </w:rPr>
              <w:t>预防性干预</w:t>
            </w:r>
          </w:p>
        </w:tc>
        <w:tc>
          <w:tcPr>
            <w:tcW w:w="4190" w:type="dxa"/>
            <w:vAlign w:val="center"/>
          </w:tcPr>
          <w:p w14:paraId="75E401FD">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left"/>
              <w:textAlignment w:val="baseline"/>
              <w:rPr>
                <w:rFonts w:ascii="Times New Roman" w:hAnsi="Times New Roman" w:eastAsia="仿宋" w:cs="仿宋"/>
                <w:sz w:val="24"/>
                <w:szCs w:val="24"/>
              </w:rPr>
            </w:pPr>
            <w:r>
              <w:rPr>
                <w:rFonts w:ascii="Times New Roman" w:hAnsi="Times New Roman" w:eastAsia="仿宋" w:cs="仿宋"/>
                <w:spacing w:val="-9"/>
                <w:sz w:val="24"/>
                <w:szCs w:val="24"/>
                <w:lang w:eastAsia="zh-CN"/>
              </w:rPr>
              <w:t>肺结核患者密切接触者中潜伏感染者</w:t>
            </w:r>
            <w:r>
              <w:rPr>
                <w:rFonts w:ascii="Times New Roman" w:hAnsi="Times New Roman" w:eastAsia="仿宋" w:cs="仿宋"/>
                <w:spacing w:val="-8"/>
                <w:sz w:val="24"/>
                <w:szCs w:val="24"/>
              </w:rPr>
              <w:t>预防性治疗率</w:t>
            </w:r>
          </w:p>
        </w:tc>
        <w:tc>
          <w:tcPr>
            <w:tcW w:w="1230" w:type="dxa"/>
          </w:tcPr>
          <w:p w14:paraId="5C826121">
            <w:pPr>
              <w:keepNext w:val="0"/>
              <w:keepLines w:val="0"/>
              <w:pageBreakBefore w:val="0"/>
              <w:wordWrap/>
              <w:overflowPunct/>
              <w:topLinePunct w:val="0"/>
              <w:autoSpaceDE w:val="0"/>
              <w:autoSpaceDN w:val="0"/>
              <w:bidi w:val="0"/>
              <w:adjustRightInd w:val="0"/>
              <w:snapToGrid w:val="0"/>
              <w:spacing w:line="640" w:lineRule="exact"/>
              <w:ind w:left="0" w:right="0" w:firstLine="468" w:firstLineChars="200"/>
              <w:jc w:val="both"/>
              <w:textAlignment w:val="baseline"/>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≥60%</w:t>
            </w:r>
          </w:p>
        </w:tc>
        <w:tc>
          <w:tcPr>
            <w:tcW w:w="1231" w:type="dxa"/>
          </w:tcPr>
          <w:p w14:paraId="020CF12A">
            <w:pPr>
              <w:keepNext w:val="0"/>
              <w:keepLines w:val="0"/>
              <w:pageBreakBefore w:val="0"/>
              <w:wordWrap/>
              <w:overflowPunct/>
              <w:topLinePunct w:val="0"/>
              <w:autoSpaceDE w:val="0"/>
              <w:autoSpaceDN w:val="0"/>
              <w:bidi w:val="0"/>
              <w:adjustRightInd w:val="0"/>
              <w:snapToGrid w:val="0"/>
              <w:spacing w:line="640" w:lineRule="exact"/>
              <w:ind w:left="0" w:right="0" w:firstLine="468" w:firstLineChars="200"/>
              <w:jc w:val="both"/>
              <w:textAlignment w:val="baseline"/>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≥80%</w:t>
            </w:r>
          </w:p>
        </w:tc>
      </w:tr>
      <w:tr w14:paraId="4CB4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839" w:type="dxa"/>
            <w:vMerge w:val="continue"/>
            <w:tcBorders>
              <w:top w:val="nil"/>
            </w:tcBorders>
          </w:tcPr>
          <w:p w14:paraId="05740D61">
            <w:pPr>
              <w:pStyle w:val="9"/>
              <w:keepNext w:val="0"/>
              <w:keepLines w:val="0"/>
              <w:pageBreakBefore w:val="0"/>
              <w:wordWrap/>
              <w:overflowPunct/>
              <w:topLinePunct w:val="0"/>
              <w:autoSpaceDE w:val="0"/>
              <w:autoSpaceDN w:val="0"/>
              <w:bidi w:val="0"/>
              <w:adjustRightInd w:val="0"/>
              <w:snapToGrid w:val="0"/>
              <w:spacing w:line="640" w:lineRule="exact"/>
              <w:ind w:left="0" w:right="0" w:firstLine="420" w:firstLineChars="200"/>
              <w:textAlignment w:val="baseline"/>
              <w:rPr>
                <w:rFonts w:ascii="Times New Roman" w:hAnsi="Times New Roman"/>
              </w:rPr>
            </w:pPr>
          </w:p>
        </w:tc>
        <w:tc>
          <w:tcPr>
            <w:tcW w:w="1287" w:type="dxa"/>
          </w:tcPr>
          <w:p w14:paraId="0B6E4A59">
            <w:pPr>
              <w:keepNext w:val="0"/>
              <w:keepLines w:val="0"/>
              <w:pageBreakBefore w:val="0"/>
              <w:wordWrap/>
              <w:overflowPunct/>
              <w:topLinePunct w:val="0"/>
              <w:autoSpaceDE w:val="0"/>
              <w:autoSpaceDN w:val="0"/>
              <w:bidi w:val="0"/>
              <w:adjustRightInd w:val="0"/>
              <w:snapToGrid w:val="0"/>
              <w:spacing w:line="640" w:lineRule="exact"/>
              <w:ind w:left="0" w:right="0" w:firstLine="448" w:firstLineChars="200"/>
              <w:textAlignment w:val="baseline"/>
              <w:rPr>
                <w:rFonts w:ascii="Times New Roman" w:hAnsi="Times New Roman" w:eastAsia="仿宋" w:cs="仿宋"/>
                <w:sz w:val="24"/>
                <w:szCs w:val="24"/>
              </w:rPr>
            </w:pPr>
            <w:r>
              <w:rPr>
                <w:rFonts w:ascii="Times New Roman" w:hAnsi="Times New Roman" w:eastAsia="仿宋" w:cs="仿宋"/>
                <w:spacing w:val="-8"/>
                <w:sz w:val="24"/>
                <w:szCs w:val="24"/>
              </w:rPr>
              <w:t>健康素养</w:t>
            </w:r>
          </w:p>
        </w:tc>
        <w:tc>
          <w:tcPr>
            <w:tcW w:w="4190" w:type="dxa"/>
            <w:vAlign w:val="center"/>
          </w:tcPr>
          <w:p w14:paraId="506F08C2">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center"/>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公众结核病防治核心知识知晓率</w:t>
            </w:r>
          </w:p>
        </w:tc>
        <w:tc>
          <w:tcPr>
            <w:tcW w:w="1230" w:type="dxa"/>
            <w:vAlign w:val="center"/>
          </w:tcPr>
          <w:p w14:paraId="76FAA126">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≥85%</w:t>
            </w:r>
          </w:p>
        </w:tc>
        <w:tc>
          <w:tcPr>
            <w:tcW w:w="1231" w:type="dxa"/>
            <w:vAlign w:val="center"/>
          </w:tcPr>
          <w:p w14:paraId="11565594">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480"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≥85%</w:t>
            </w:r>
          </w:p>
        </w:tc>
      </w:tr>
    </w:tbl>
    <w:p w14:paraId="62E3E9D2">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防治措施</w:t>
      </w:r>
    </w:p>
    <w:p w14:paraId="3732C381">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（一）优化防治体系，提升服务能力</w:t>
      </w:r>
    </w:p>
    <w:p w14:paraId="24DC1B73">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1.完善防治服务体系。</w:t>
      </w:r>
      <w:r>
        <w:rPr>
          <w:rFonts w:hint="eastAsia" w:ascii="Times New Roman" w:hAnsi="Times New Roman" w:eastAsia="方正仿宋_GBK" w:cs="方正仿宋_GBK"/>
          <w:sz w:val="32"/>
          <w:szCs w:val="32"/>
          <w:lang w:eastAsia="zh-CN"/>
        </w:rPr>
        <w:t>加强全市结核病定点医疗机构规范化建设，严格归口管理，提高疾控机构、定点医疗机构、基层医疗卫生机构“三位一体”的综合服务能力。全面提升结核病诊疗服务质量和水平，加强完善</w:t>
      </w:r>
      <w:bookmarkStart w:id="0" w:name="OLE_LINK1"/>
      <w:bookmarkStart w:id="1" w:name="OLE_LINK2"/>
      <w:r>
        <w:rPr>
          <w:rFonts w:hint="eastAsia" w:ascii="Times New Roman" w:hAnsi="Times New Roman" w:eastAsia="方正仿宋_GBK" w:cs="方正仿宋_GBK"/>
          <w:sz w:val="32"/>
          <w:szCs w:val="32"/>
          <w:lang w:eastAsia="zh-CN"/>
        </w:rPr>
        <w:t>各级</w:t>
      </w:r>
      <w:bookmarkEnd w:id="0"/>
      <w:bookmarkEnd w:id="1"/>
      <w:r>
        <w:rPr>
          <w:rFonts w:hint="eastAsia" w:ascii="Times New Roman" w:hAnsi="Times New Roman" w:eastAsia="方正仿宋_GBK" w:cs="方正仿宋_GBK"/>
          <w:sz w:val="32"/>
          <w:szCs w:val="32"/>
          <w:lang w:eastAsia="zh-CN"/>
        </w:rPr>
        <w:t>各类结核病防治机构分工协作工作机制，注重医防协同、医防融合。</w:t>
      </w:r>
    </w:p>
    <w:p w14:paraId="06300156">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2.加强信息监测协同。</w:t>
      </w:r>
      <w:r>
        <w:rPr>
          <w:rFonts w:hint="eastAsia" w:ascii="Times New Roman" w:hAnsi="Times New Roman" w:eastAsia="方正仿宋_GBK" w:cs="方正仿宋_GBK"/>
          <w:sz w:val="32"/>
          <w:szCs w:val="32"/>
          <w:lang w:eastAsia="zh-CN"/>
        </w:rPr>
        <w:t>医疗机构与疾控机构的结核病诊疗和管理信息协同，</w:t>
      </w:r>
      <w:r>
        <w:rPr>
          <w:rFonts w:hint="eastAsia" w:ascii="Times New Roman" w:hAnsi="Times New Roman" w:eastAsia="方正仿宋_GBK" w:cs="方正仿宋_GBK"/>
          <w:sz w:val="32"/>
          <w:szCs w:val="32"/>
          <w:lang w:val="en-US" w:eastAsia="zh-CN"/>
        </w:rPr>
        <w:t>强化哨点监测</w:t>
      </w:r>
      <w:r>
        <w:rPr>
          <w:rFonts w:hint="eastAsia" w:ascii="Times New Roman" w:hAnsi="Times New Roman" w:eastAsia="方正仿宋_GBK" w:cs="方正仿宋_GBK"/>
          <w:sz w:val="32"/>
          <w:szCs w:val="32"/>
          <w:lang w:eastAsia="zh-CN"/>
        </w:rPr>
        <w:t>，发挥信息化支撑作用，实现检测、报告、诊疗和随访全流程动态管理，加强对监测信息的分析与应用，促进重点场所聚集性疫情的早识别、早预警、早干预、早处置。</w:t>
      </w:r>
    </w:p>
    <w:p w14:paraId="6D2B665D">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3.强化防治队伍建设。</w:t>
      </w:r>
      <w:r>
        <w:rPr>
          <w:rFonts w:hint="eastAsia" w:ascii="Times New Roman" w:hAnsi="Times New Roman" w:eastAsia="方正仿宋_GBK" w:cs="方正仿宋_GBK"/>
          <w:sz w:val="32"/>
          <w:szCs w:val="32"/>
          <w:lang w:eastAsia="zh-CN"/>
        </w:rPr>
        <w:t>加强人才梯队建设，强化对各级各类人员开展防治工作的规范化培训，培养具备流调、现场处置、病原学检测等能力的复合型人才，保障专业人员质量和数量。</w:t>
      </w:r>
    </w:p>
    <w:p w14:paraId="355A25B1">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（二）强化主动筛查，提高发现水平</w:t>
      </w:r>
    </w:p>
    <w:p w14:paraId="259FED79">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1.规范流程及早诊断。</w:t>
      </w:r>
      <w:r>
        <w:rPr>
          <w:rFonts w:hint="eastAsia" w:ascii="Times New Roman" w:hAnsi="Times New Roman" w:eastAsia="方正仿宋_GBK" w:cs="方正仿宋_GBK"/>
          <w:sz w:val="32"/>
          <w:szCs w:val="32"/>
          <w:lang w:eastAsia="zh-CN"/>
        </w:rPr>
        <w:t>加强医疗机构预检分诊，完善工作流程，落实首诊医生负责制。对就诊的肺结核可疑症状者和发病高风险人群开展胸部影像学和病原学等检查。对发现的肺结核患者和疑似患者，做好传染病报告、转诊及登记工作，不断提高早诊率，持续降低漏诊率。</w:t>
      </w:r>
    </w:p>
    <w:p w14:paraId="102BA53E">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2.开展重点人群主动筛查。</w:t>
      </w:r>
      <w:r>
        <w:rPr>
          <w:rFonts w:hint="eastAsia" w:ascii="Times New Roman" w:hAnsi="Times New Roman" w:eastAsia="方正仿宋_GBK" w:cs="方正仿宋_GBK"/>
          <w:sz w:val="32"/>
          <w:szCs w:val="32"/>
          <w:lang w:eastAsia="zh-CN"/>
        </w:rPr>
        <w:t>强化对肺结核患者密切接触者、艾滋病病毒感染者、既往结核病患者和糖尿病患者、免疫受损与免疫缺陷等重点人群的结核病筛查。结合国家基本公共卫生服务项目老年人胸部数字化X线摄影（DR）检查等健康管理服务，开展老年人结核病主动筛查。学校、监管场所、社会福利机构、养老机构、未成年人救助保护机构、精神病医院和工矿企业等要将结核病检查作为入学（所、院、职）体检必查项目及员工年度常规体检项目。推进无结核社区建设提质扩面，落实“三筛两管一动员”等综合防治措施。</w:t>
      </w:r>
    </w:p>
    <w:p w14:paraId="64DE25DC">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3.推动新技术应用。</w:t>
      </w:r>
      <w:r>
        <w:rPr>
          <w:rFonts w:hint="eastAsia" w:ascii="Times New Roman" w:hAnsi="Times New Roman" w:eastAsia="方正仿宋_GBK" w:cs="方正仿宋_GBK"/>
          <w:sz w:val="32"/>
          <w:szCs w:val="32"/>
          <w:lang w:eastAsia="zh-CN"/>
        </w:rPr>
        <w:t>市</w:t>
      </w:r>
      <w:r>
        <w:rPr>
          <w:rFonts w:hint="eastAsia" w:ascii="Times New Roman" w:hAnsi="Times New Roman" w:eastAsia="方正仿宋_GBK" w:cs="方正仿宋_GBK"/>
          <w:b w:val="0"/>
          <w:bCs w:val="0"/>
          <w:spacing w:val="0"/>
          <w:sz w:val="32"/>
          <w:szCs w:val="32"/>
          <w:lang w:eastAsia="zh-CN"/>
        </w:rPr>
        <w:t>疾控中心积极开展基因测序平台建设，提升结核分枝杆菌分子溯源能力。</w:t>
      </w:r>
      <w:r>
        <w:rPr>
          <w:rFonts w:hint="eastAsia" w:ascii="Times New Roman" w:hAnsi="Times New Roman" w:eastAsia="方正仿宋_GBK" w:cs="方正仿宋_GBK"/>
          <w:sz w:val="32"/>
          <w:szCs w:val="32"/>
          <w:lang w:eastAsia="zh-CN"/>
        </w:rPr>
        <w:t>在</w:t>
      </w:r>
      <w:r>
        <w:rPr>
          <w:rFonts w:hint="eastAsia" w:ascii="Times New Roman" w:hAnsi="Times New Roman" w:eastAsia="方正仿宋_GBK" w:cs="方正仿宋_GBK"/>
          <w:spacing w:val="0"/>
          <w:sz w:val="32"/>
          <w:szCs w:val="32"/>
          <w:lang w:eastAsia="zh-CN"/>
        </w:rPr>
        <w:t>结核病定点医疗机构对疑似肺结核患者首选分子生物学检测技术进行诊断，并适时开展耐药筛查。非定点医疗机构逐步提升病原学检测能力，开展结核病病原学检测。在基层医疗卫生机构大力推广应用远程会诊</w:t>
      </w:r>
      <w:r>
        <w:rPr>
          <w:rFonts w:hint="eastAsia" w:ascii="Times New Roman" w:hAnsi="Times New Roman" w:eastAsia="方正仿宋_GBK" w:cs="方正仿宋_GBK"/>
          <w:sz w:val="32"/>
          <w:szCs w:val="32"/>
          <w:lang w:eastAsia="zh-CN"/>
        </w:rPr>
        <w:t>和人工智能辅助诊断，有效提高诊断质效。</w:t>
      </w:r>
    </w:p>
    <w:p w14:paraId="636480B0">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（三）规范治疗管理，提高治疗效果</w:t>
      </w:r>
    </w:p>
    <w:p w14:paraId="0213D70C">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1.开展规范治疗。</w:t>
      </w:r>
      <w:r>
        <w:rPr>
          <w:rFonts w:hint="eastAsia" w:ascii="Times New Roman" w:hAnsi="Times New Roman" w:eastAsia="方正仿宋_GBK" w:cs="方正仿宋_GBK"/>
          <w:sz w:val="32"/>
          <w:szCs w:val="32"/>
          <w:lang w:eastAsia="zh-CN"/>
        </w:rPr>
        <w:t>严格落实结核病防治工作技术规范和指南等要求。对传染性肺结核患者进行规范隔离治疗，有效减少传播。利福平敏感肺结核患者优先选择标准化治疗方案，推荐使用固定剂量复合制剂，鼓励辅以确切的中医药治疗。建立健全结核病诊疗专家组会诊制度，进一步强化质量控制，加强对医疗机构和医务人员的监督管理，持续提升规范治疗水平。</w:t>
      </w:r>
    </w:p>
    <w:p w14:paraId="0DBDCB87">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pacing w:val="0"/>
          <w:sz w:val="32"/>
          <w:szCs w:val="32"/>
          <w:lang w:eastAsia="zh-CN"/>
        </w:rPr>
        <w:t>2.落实患者全程管理。</w:t>
      </w:r>
      <w:r>
        <w:rPr>
          <w:rFonts w:hint="eastAsia" w:ascii="Times New Roman" w:hAnsi="Times New Roman" w:eastAsia="方正仿宋_GBK" w:cs="方正仿宋_GBK"/>
          <w:spacing w:val="0"/>
          <w:sz w:val="32"/>
          <w:szCs w:val="32"/>
          <w:lang w:eastAsia="zh-CN"/>
        </w:rPr>
        <w:t>发挥“电子药盒”等信息化管理优势，优化管理服务流程，为结核病患者提供覆盖筛查、诊治和随访的全程管理服务。结合国家基本公共卫生服务项目与家庭医生签约服务，落实基层医疗卫生机构对肺结核患者的健康管理服务。积极开展结核病患者关爱行动，提升患者服药依从性。</w:t>
      </w:r>
    </w:p>
    <w:p w14:paraId="1667100A">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3.强化耐药结核病诊疗。</w:t>
      </w:r>
      <w:r>
        <w:rPr>
          <w:rFonts w:hint="eastAsia" w:ascii="Times New Roman" w:hAnsi="Times New Roman" w:eastAsia="方正仿宋_GBK" w:cs="方正仿宋_GBK"/>
          <w:sz w:val="32"/>
          <w:szCs w:val="32"/>
          <w:lang w:eastAsia="zh-CN"/>
        </w:rPr>
        <w:t>市级耐药定点医疗机构要开展二线抗结核药品分子生物学耐药检测、传统药敏试验等，科学、规范制定治疗方案，积极推广验证有效的抗结核新药以及短程、全口服治疗方案。县级结核病定点医疗机构结合实际对疑似肺结核患者开展结核分枝杆菌及耐药性分子生物学检测。进一步强化耐药结核病患者本地化住院隔离治疗和分类救治，减少长时间的异地就医，降低传播风险。</w:t>
      </w:r>
    </w:p>
    <w:p w14:paraId="6B3112C8">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4.加强学校疫情防控。</w:t>
      </w:r>
      <w:r>
        <w:rPr>
          <w:rFonts w:hint="eastAsia" w:ascii="Times New Roman" w:hAnsi="Times New Roman" w:eastAsia="方正仿宋_GBK" w:cs="方正仿宋_GBK"/>
          <w:sz w:val="32"/>
          <w:szCs w:val="32"/>
          <w:lang w:eastAsia="zh-CN"/>
        </w:rPr>
        <w:t>加强学校等人群聚集场所结核病疫情监测预警，做好信息核实、流行病学调查和疫情报告，及时规范处置疫情。各级各类学校要认真履行学校结核病防控的主体责任，落实各项日常防控措施。严格规范学校结核病诊断治疗，落实学校结核病休复学（课）管理，积极开展结核病疫情风险评估，有效控制聚集性疫情发生。</w:t>
      </w:r>
    </w:p>
    <w:p w14:paraId="7ED43394">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（四）加强预防措施，减少发病与传播</w:t>
      </w:r>
    </w:p>
    <w:p w14:paraId="2EF1D335">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1.夯实预防接种。</w:t>
      </w:r>
      <w:r>
        <w:rPr>
          <w:rFonts w:hint="eastAsia" w:ascii="Times New Roman" w:hAnsi="Times New Roman" w:eastAsia="方正仿宋_GBK" w:cs="方正仿宋_GBK"/>
          <w:sz w:val="32"/>
          <w:szCs w:val="32"/>
          <w:lang w:eastAsia="zh-CN"/>
        </w:rPr>
        <w:t>为适龄儿童提供卡介苗接种服务，确保接种及时性和覆盖率，定期开展疫苗接种效果评估。加强对接种质量的监管，确保疫苗接种的安全性和有效性。</w:t>
      </w:r>
    </w:p>
    <w:p w14:paraId="4D36ECD9">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2.强化感染控制。</w:t>
      </w:r>
      <w:r>
        <w:rPr>
          <w:rFonts w:hint="eastAsia" w:ascii="Times New Roman" w:hAnsi="Times New Roman" w:eastAsia="方正仿宋_GBK" w:cs="方正仿宋_GBK"/>
          <w:b w:val="0"/>
          <w:bCs w:val="0"/>
          <w:spacing w:val="0"/>
          <w:sz w:val="32"/>
          <w:szCs w:val="32"/>
          <w:lang w:eastAsia="zh-CN"/>
        </w:rPr>
        <w:t>结核病定点医疗机构要落实感染预防与控制措施。</w:t>
      </w:r>
      <w:r>
        <w:rPr>
          <w:rFonts w:hint="eastAsia" w:ascii="Times New Roman" w:hAnsi="Times New Roman" w:eastAsia="方正仿宋_GBK" w:cs="方正仿宋_GBK"/>
          <w:spacing w:val="0"/>
          <w:sz w:val="32"/>
          <w:szCs w:val="32"/>
          <w:lang w:eastAsia="zh-CN"/>
        </w:rPr>
        <w:t>规范实施传染性肺结核患者停工停课和复工复课制度。教育引导患者避免到人员密集场所活动，强化个人防护，科学佩戴医用外科口罩。对居家治疗的肺结核患者家庭环境进行感染风险评估，指导患者及家属做好家庭内感染控制。</w:t>
      </w:r>
    </w:p>
    <w:p w14:paraId="349EBA95">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pacing w:val="0"/>
          <w:sz w:val="32"/>
          <w:szCs w:val="32"/>
          <w:lang w:eastAsia="zh-CN"/>
        </w:rPr>
        <w:t>3.干预潜伏感染</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sz w:val="32"/>
          <w:szCs w:val="32"/>
          <w:lang w:eastAsia="zh-CN"/>
        </w:rPr>
        <w:t>因地制宜设立结核病预防性治疗门诊，扩大预防性治疗覆盖面。对肺结核患者密切接触者、艾滋病病毒感染者、长期使用免疫抑制剂者等高风险人群开展结核感染筛查，对密切接触者中符合预防性治疗条件的潜伏感染者，做到“应服尽服”。落实预防性治疗管理措施，做到“应管尽管”，降低结核病发病风险。</w:t>
      </w:r>
    </w:p>
    <w:p w14:paraId="3429AA58">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（五）强化政策帮扶，减轻经济负担</w:t>
      </w:r>
    </w:p>
    <w:p w14:paraId="536BAFCB">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pacing w:val="0"/>
          <w:sz w:val="32"/>
          <w:szCs w:val="32"/>
          <w:lang w:eastAsia="zh-CN"/>
        </w:rPr>
        <w:t>1.完善保障措施。</w:t>
      </w:r>
      <w:r>
        <w:rPr>
          <w:rFonts w:hint="eastAsia" w:ascii="Times New Roman" w:hAnsi="Times New Roman" w:eastAsia="方正仿宋_GBK" w:cs="方正仿宋_GBK"/>
          <w:spacing w:val="0"/>
          <w:sz w:val="32"/>
          <w:szCs w:val="32"/>
          <w:lang w:eastAsia="zh-CN"/>
        </w:rPr>
        <w:t>坚持多渠道筹资原则，做好医疗保障政策与公共卫生项目的统筹衔接。做好基本医保目录内抗结核药品的医保支付工作。优化住院结核病患者的医保政策，提升门诊慢/</w:t>
      </w:r>
      <w:r>
        <w:rPr>
          <w:rFonts w:hint="eastAsia" w:ascii="Times New Roman" w:hAnsi="Times New Roman" w:eastAsia="方正仿宋_GBK" w:cs="方正仿宋_GBK"/>
          <w:sz w:val="32"/>
          <w:szCs w:val="32"/>
          <w:lang w:eastAsia="zh-CN"/>
        </w:rPr>
        <w:t>特病保障水平。</w:t>
      </w:r>
    </w:p>
    <w:p w14:paraId="0113532A">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pacing w:val="0"/>
          <w:sz w:val="32"/>
          <w:szCs w:val="32"/>
          <w:lang w:eastAsia="zh-CN"/>
        </w:rPr>
        <w:t>2.加强关怀救助。</w:t>
      </w:r>
      <w:r>
        <w:rPr>
          <w:rFonts w:hint="eastAsia" w:ascii="Times New Roman" w:hAnsi="Times New Roman" w:eastAsia="方正仿宋_GBK" w:cs="方正仿宋_GBK"/>
          <w:spacing w:val="0"/>
          <w:sz w:val="32"/>
          <w:szCs w:val="32"/>
          <w:lang w:eastAsia="zh-CN"/>
        </w:rPr>
        <w:t>统筹救助资源，增强兜底功能，将符合条件的结核病患者纳入救助范围，切实减轻医疗费用和基本生活负担。鼓励各地积极争取社会组织、慈善组织的支持，扩大补偿渠道，提高救治患者的保障水平。</w:t>
      </w:r>
    </w:p>
    <w:p w14:paraId="107B9D6A">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3"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pacing w:val="0"/>
          <w:sz w:val="32"/>
          <w:szCs w:val="32"/>
          <w:lang w:eastAsia="zh-CN"/>
        </w:rPr>
        <w:t>3.做好监测帮扶。</w:t>
      </w:r>
      <w:r>
        <w:rPr>
          <w:rFonts w:hint="eastAsia" w:ascii="Times New Roman" w:hAnsi="Times New Roman" w:eastAsia="方正仿宋_GBK" w:cs="方正仿宋_GBK"/>
          <w:spacing w:val="0"/>
          <w:sz w:val="32"/>
          <w:szCs w:val="32"/>
          <w:lang w:eastAsia="zh-CN"/>
        </w:rPr>
        <w:t>及时将农村有返贫致贫风险的结核病患者识别为防止返贫致贫监测对象，因人因户制定切实可行的帮扶计划，加强精准帮扶，切实防范化解返贫致贫风险。</w:t>
      </w:r>
    </w:p>
    <w:p w14:paraId="52A44744">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（六）强化社会动员，深化宣传教育</w:t>
      </w:r>
    </w:p>
    <w:p w14:paraId="4D9542EA">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全面开展大众宣传。全方位、多维度、创新性开展结核病防治健康教育与健康促进，加大传统媒体和新媒体宣传力度，全面提升全民结核病防治健康素养，提高公众普及和重点人群、重点场所宣传效果。积极拓展多部门社会动员，营造全社会关注、支持和参与结核病防治的良好氛围。将每年世界防治结核病日主题宣传与常态化宣传有机结合，持续组织开展群众喜闻乐见的结核病防治宣传活动。加强与共青团、民政等部门合作，深入推进百千万志愿者结核病防治知识传播提升行动，广泛动员公众积极参与志愿活动，推动公众强化健康意识、履行健康责任。</w:t>
      </w:r>
    </w:p>
    <w:p w14:paraId="3CE88B1A">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三、保障措施</w:t>
      </w:r>
    </w:p>
    <w:p w14:paraId="1C259C64">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各部门要落实部门主管责任，协同配合，各司其职，重点做好以下工作：</w:t>
      </w:r>
    </w:p>
    <w:p w14:paraId="05AE5DEF">
      <w:pPr>
        <w:keepNext w:val="0"/>
        <w:keepLines w:val="0"/>
        <w:pageBreakBefore w:val="0"/>
        <w:widowControl w:val="0"/>
        <w:kinsoku/>
        <w:wordWrap/>
        <w:overflowPunct/>
        <w:topLinePunct w:val="0"/>
        <w:autoSpaceDE w:val="0"/>
        <w:autoSpaceDN w:val="0"/>
        <w:bidi w:val="0"/>
        <w:adjustRightInd w:val="0"/>
        <w:snapToGrid w:val="0"/>
        <w:spacing w:line="640" w:lineRule="exact"/>
        <w:ind w:left="0" w:right="0" w:firstLine="640" w:firstLineChars="200"/>
        <w:jc w:val="both"/>
        <w:textAlignment w:val="baseline"/>
        <w:rPr>
          <w:rFonts w:hint="eastAsia" w:ascii="Calibri" w:hAnsi="Calibri" w:eastAsia="宋体" w:cs="Times New Roman"/>
          <w:snapToGrid/>
          <w:kern w:val="2"/>
          <w:szCs w:val="24"/>
          <w:lang w:val="en-US" w:eastAsia="zh-CN"/>
        </w:rPr>
      </w:pPr>
      <w:r>
        <w:rPr>
          <w:rFonts w:hint="eastAsia" w:ascii="Times New Roman" w:hAnsi="Times New Roman" w:eastAsia="方正仿宋_GBK" w:cs="方正仿宋_GBK"/>
          <w:sz w:val="32"/>
          <w:szCs w:val="32"/>
          <w:lang w:eastAsia="zh-CN"/>
        </w:rPr>
        <w:t>卫生健康部门负责协调相关部门共同推动规划实施，优化完善防治体系，提高防治能力和服务水平，对结核病防治工作进行监管，对规划实施情况开展监测评价。发展改革部门按照基本建设分级管理原则，负责结核病防治机构有关基建项目审批工作。教体部门依法落实学校结核病防控的行业管理责任，有效落实新生入学体检结核病筛查和教职员工入职（定期）结核病检查和健康教育等措施。公安部门负责看守所等场所的结核病防治工作，落实结核病检查和治疗管理措施。财政部门按规定落实防治相关投入政策，推动提高资金使用效益。医保部门负责制定并完善符合结核病防治特点的医保政策，做好结核病患者医疗保障工作。市场监管部门负责加强对抗结核药品的质量监督，支持企业研发抗结核新药品、新试剂和新疫苗。民政部门负责落实社会福利机构、养老机构、未成年人救助保护机构等场所的行业管理责任，有效落实新入院体检结核病筛查、职工入职及常规体检结核病检查和健康教育等措施；将符合条件的困难肺结核患者家庭纳入低保等社会救助范围。农业农村部门负责加强结核病患者防止返贫致贫动态监测，完善帮扶机制。海关部门负责加强入境人员结核病监测，科学规范开展体温监测、医学巡查、流行病学调查等工作，畅通部门间信息沟通渠道，共同做好口岸结核病排查处置工作。</w:t>
      </w:r>
    </w:p>
    <w:sectPr>
      <w:footerReference r:id="rId3" w:type="default"/>
      <w:pgSz w:w="11906" w:h="16839"/>
      <w:pgMar w:top="1984" w:right="1474" w:bottom="1417" w:left="1474" w:header="680" w:footer="136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81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0B943">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70B943">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1"/>
  <w:bordersDoNotSurroundFooter w:val="1"/>
  <w:documentProtection w:enforcement="0"/>
  <w:defaultTabStop w:val="420"/>
  <w:characterSpacingControl w:val="doNotCompress"/>
  <w:hdrShapeDefaults>
    <o:shapelayout v:ext="edit">
      <o:idmap v:ext="edit" data="3"/>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D8"/>
    <w:rsid w:val="00264CC3"/>
    <w:rsid w:val="005F2B25"/>
    <w:rsid w:val="00A27ED8"/>
    <w:rsid w:val="00AE0B21"/>
    <w:rsid w:val="00DC6AE5"/>
    <w:rsid w:val="00E32C45"/>
    <w:rsid w:val="00EA1F02"/>
    <w:rsid w:val="00EC672F"/>
    <w:rsid w:val="00F114D6"/>
    <w:rsid w:val="0E642D7B"/>
    <w:rsid w:val="1FFAC4EC"/>
    <w:rsid w:val="55FEBFDF"/>
    <w:rsid w:val="62BB5BC9"/>
    <w:rsid w:val="6AF3300D"/>
    <w:rsid w:val="6FBFB325"/>
    <w:rsid w:val="6FFF0AF9"/>
    <w:rsid w:val="7BFD6C33"/>
    <w:rsid w:val="7EFFDFCC"/>
    <w:rsid w:val="7FFB328A"/>
    <w:rsid w:val="8BBF4EB0"/>
    <w:rsid w:val="E7FF5491"/>
    <w:rsid w:val="EFF5B218"/>
    <w:rsid w:val="F2F8C667"/>
    <w:rsid w:val="FB77EA8C"/>
    <w:rsid w:val="FB7B9B60"/>
    <w:rsid w:val="FFFF9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2"/>
    <w:basedOn w:val="1"/>
    <w:next w:val="1"/>
    <w:unhideWhenUsed/>
    <w:qFormat/>
    <w:uiPriority w:val="9"/>
    <w:pPr>
      <w:keepNext/>
      <w:spacing w:before="240" w:after="60"/>
      <w:outlineLvl w:val="1"/>
    </w:pPr>
    <w:rPr>
      <w:rFonts w:ascii="Cambria" w:hAnsi="Cambria" w:eastAsia="宋体"/>
      <w:b/>
      <w:bCs/>
      <w:i/>
      <w:i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方正小标宋简体" w:hAnsi="方正小标宋简体" w:eastAsia="方正小标宋简体" w:cs="方正小标宋简体"/>
      <w:sz w:val="61"/>
      <w:szCs w:val="61"/>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eastAsia="Arial"/>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622</Words>
  <Characters>661</Characters>
  <Lines>26</Lines>
  <Paragraphs>7</Paragraphs>
  <TotalTime>1</TotalTime>
  <ScaleCrop>false</ScaleCrop>
  <LinksUpToDate>false</LinksUpToDate>
  <CharactersWithSpaces>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2025-07-10T07:47:00Z</dcterms:created>
  <dc:creator>系统管理员</dc:creator>
  <cp:lastModifiedBy>遇健不散</cp:lastModifiedBy>
  <dcterms:modified xsi:type="dcterms:W3CDTF">2025-09-23T03:49:01Z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2025-07-22T15:35:02Z</vt:filetime>
  </property>
  <property fmtid="{D5CDD505-2E9C-101B-9397-08002B2CF9AE}" pid="4" name="KSOProductBuildVer">
    <vt:lpwstr>2052-12.1.0.22529</vt:lpwstr>
  </property>
  <property fmtid="{D5CDD505-2E9C-101B-9397-08002B2CF9AE}" pid="5" name="ICV">
    <vt:lpwstr>687268FF762A44A2A868E3F400F7C2D8_13</vt:lpwstr>
  </property>
  <property fmtid="{D5CDD505-2E9C-101B-9397-08002B2CF9AE}" pid="6" name="KSOTemplateDocerSaveRecord">
    <vt:lpwstr>eyJoZGlkIjoiNjUyMmUzNGJlZjMzNGYzZGVjNDM5MTRlZDAyZWJjOTMiLCJ1c2VySWQiOiIxMjExNjY3MTg0In0=</vt:lpwstr>
  </property>
</Properties>
</file>